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C5" w:rsidRDefault="00704126" w:rsidP="00704126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ŞCOALA GIMNAZIALĂ VOINEASA</w:t>
      </w:r>
    </w:p>
    <w:p w:rsidR="004313C5" w:rsidRDefault="004313C5" w:rsidP="00704126">
      <w:pPr>
        <w:spacing w:line="23" w:lineRule="exact"/>
        <w:jc w:val="center"/>
        <w:rPr>
          <w:sz w:val="24"/>
          <w:szCs w:val="24"/>
        </w:rPr>
      </w:pPr>
    </w:p>
    <w:p w:rsidR="004313C5" w:rsidRDefault="00704126" w:rsidP="00704126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Str.Aleea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Paraul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Scolii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, nr.2</w:t>
      </w:r>
    </w:p>
    <w:p w:rsidR="004313C5" w:rsidRDefault="004313C5" w:rsidP="00704126">
      <w:pPr>
        <w:spacing w:line="21" w:lineRule="exact"/>
        <w:jc w:val="center"/>
        <w:rPr>
          <w:sz w:val="24"/>
          <w:szCs w:val="24"/>
        </w:rPr>
      </w:pPr>
    </w:p>
    <w:p w:rsidR="004313C5" w:rsidRDefault="00704126" w:rsidP="00704126">
      <w:pPr>
        <w:rPr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                                                                       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com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Voineasa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jud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Valcea</w:t>
      </w:r>
      <w:proofErr w:type="spellEnd"/>
    </w:p>
    <w:p w:rsidR="004313C5" w:rsidRDefault="00704126" w:rsidP="00704126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E-mail: </w:t>
      </w:r>
      <w:r>
        <w:rPr>
          <w:rFonts w:ascii="Cambria" w:eastAsia="Cambria" w:hAnsi="Cambria" w:cs="Cambria"/>
          <w:b/>
          <w:bCs/>
          <w:color w:val="0563C1"/>
          <w:sz w:val="24"/>
          <w:szCs w:val="24"/>
          <w:u w:val="single"/>
        </w:rPr>
        <w:t>sc.voineasa2020@gmail</w:t>
      </w:r>
      <w:r>
        <w:rPr>
          <w:rFonts w:ascii="Cambria" w:eastAsia="Cambria" w:hAnsi="Cambria" w:cs="Cambria"/>
          <w:b/>
          <w:bCs/>
          <w:color w:val="0563C1"/>
          <w:sz w:val="24"/>
          <w:szCs w:val="24"/>
          <w:u w:val="single"/>
        </w:rPr>
        <w:t>.com</w:t>
      </w:r>
    </w:p>
    <w:p w:rsidR="004313C5" w:rsidRDefault="004313C5" w:rsidP="00704126">
      <w:pPr>
        <w:spacing w:line="21" w:lineRule="exact"/>
        <w:jc w:val="center"/>
        <w:rPr>
          <w:sz w:val="24"/>
          <w:szCs w:val="24"/>
        </w:rPr>
      </w:pPr>
    </w:p>
    <w:p w:rsidR="004313C5" w:rsidRDefault="00704126" w:rsidP="00704126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Tel.: 0744662401</w:t>
      </w:r>
    </w:p>
    <w:p w:rsidR="004313C5" w:rsidRDefault="0070412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-22860</wp:posOffset>
            </wp:positionH>
            <wp:positionV relativeFrom="paragraph">
              <wp:posOffset>27940</wp:posOffset>
            </wp:positionV>
            <wp:extent cx="6789420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42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13C5" w:rsidRDefault="004313C5">
      <w:pPr>
        <w:spacing w:line="200" w:lineRule="exact"/>
        <w:rPr>
          <w:sz w:val="24"/>
          <w:szCs w:val="24"/>
        </w:rPr>
      </w:pPr>
    </w:p>
    <w:p w:rsidR="004313C5" w:rsidRDefault="004313C5">
      <w:pPr>
        <w:spacing w:line="200" w:lineRule="exact"/>
        <w:rPr>
          <w:sz w:val="24"/>
          <w:szCs w:val="24"/>
        </w:rPr>
      </w:pPr>
    </w:p>
    <w:p w:rsidR="004313C5" w:rsidRDefault="004313C5">
      <w:pPr>
        <w:spacing w:line="200" w:lineRule="exact"/>
        <w:rPr>
          <w:sz w:val="24"/>
          <w:szCs w:val="24"/>
        </w:rPr>
      </w:pPr>
    </w:p>
    <w:p w:rsidR="004313C5" w:rsidRDefault="004313C5">
      <w:pPr>
        <w:spacing w:line="254" w:lineRule="exact"/>
        <w:rPr>
          <w:sz w:val="24"/>
          <w:szCs w:val="24"/>
        </w:rPr>
      </w:pPr>
    </w:p>
    <w:p w:rsidR="004313C5" w:rsidRDefault="00704126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COMPONENȚA COMISIEI PENTRU MENTORAT DIDACTIC ȘI FORMARE ÎN CARIERA DIDACTICĂ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în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anul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școlar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2023-2024</w:t>
      </w:r>
    </w:p>
    <w:p w:rsidR="004313C5" w:rsidRDefault="004313C5">
      <w:pPr>
        <w:spacing w:line="281" w:lineRule="exact"/>
        <w:rPr>
          <w:sz w:val="24"/>
          <w:szCs w:val="24"/>
        </w:rPr>
      </w:pPr>
    </w:p>
    <w:p w:rsidR="004313C5" w:rsidRDefault="00704126">
      <w:pPr>
        <w:numPr>
          <w:ilvl w:val="0"/>
          <w:numId w:val="1"/>
        </w:numPr>
        <w:tabs>
          <w:tab w:val="left" w:pos="720"/>
        </w:tabs>
        <w:ind w:left="720" w:hanging="368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Responsabil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– prof. inv. </w:t>
      </w:r>
      <w:proofErr w:type="spellStart"/>
      <w:r>
        <w:rPr>
          <w:rFonts w:ascii="Cambria" w:eastAsia="Cambria" w:hAnsi="Cambria" w:cs="Cambria"/>
          <w:sz w:val="24"/>
          <w:szCs w:val="24"/>
        </w:rPr>
        <w:t>primar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Iepure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Camelia-Marilena</w:t>
      </w:r>
      <w:proofErr w:type="spellEnd"/>
    </w:p>
    <w:p w:rsidR="004313C5" w:rsidRDefault="00704126">
      <w:pPr>
        <w:numPr>
          <w:ilvl w:val="0"/>
          <w:numId w:val="1"/>
        </w:numPr>
        <w:tabs>
          <w:tab w:val="left" w:pos="720"/>
        </w:tabs>
        <w:ind w:left="720" w:hanging="368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Membru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– prof. </w:t>
      </w:r>
      <w:proofErr w:type="spellStart"/>
      <w:r>
        <w:rPr>
          <w:rFonts w:ascii="Cambria" w:eastAsia="Cambria" w:hAnsi="Cambria" w:cs="Cambria"/>
          <w:sz w:val="24"/>
          <w:szCs w:val="24"/>
        </w:rPr>
        <w:t>Plesanu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Magdalena</w:t>
      </w:r>
    </w:p>
    <w:p w:rsidR="004313C5" w:rsidRDefault="00704126">
      <w:pPr>
        <w:numPr>
          <w:ilvl w:val="0"/>
          <w:numId w:val="1"/>
        </w:numPr>
        <w:tabs>
          <w:tab w:val="left" w:pos="720"/>
        </w:tabs>
        <w:ind w:left="720" w:hanging="3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Membru – prof. inv. </w:t>
      </w:r>
      <w:proofErr w:type="spellStart"/>
      <w:r>
        <w:rPr>
          <w:rFonts w:ascii="Cambria" w:eastAsia="Cambria" w:hAnsi="Cambria" w:cs="Cambria"/>
          <w:sz w:val="24"/>
          <w:szCs w:val="24"/>
        </w:rPr>
        <w:t>prescolar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Beletescu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Elena-Angela</w:t>
      </w:r>
    </w:p>
    <w:p w:rsidR="004313C5" w:rsidRDefault="004313C5">
      <w:pPr>
        <w:spacing w:line="1" w:lineRule="exact"/>
        <w:rPr>
          <w:rFonts w:ascii="Cambria" w:eastAsia="Cambria" w:hAnsi="Cambria" w:cs="Cambria"/>
          <w:sz w:val="24"/>
          <w:szCs w:val="24"/>
        </w:rPr>
      </w:pPr>
    </w:p>
    <w:p w:rsidR="004313C5" w:rsidRDefault="004313C5">
      <w:pPr>
        <w:spacing w:line="283" w:lineRule="exact"/>
        <w:rPr>
          <w:sz w:val="24"/>
          <w:szCs w:val="24"/>
        </w:rPr>
      </w:pPr>
      <w:bookmarkStart w:id="0" w:name="_GoBack"/>
      <w:bookmarkEnd w:id="0"/>
    </w:p>
    <w:p w:rsidR="004313C5" w:rsidRDefault="00704126">
      <w:pPr>
        <w:spacing w:line="239" w:lineRule="auto"/>
        <w:ind w:firstLine="360"/>
        <w:jc w:val="both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ATRIBUȚIILE COMISIEI </w:t>
      </w:r>
      <w:r>
        <w:rPr>
          <w:rFonts w:ascii="Cambria" w:eastAsia="Cambria" w:hAnsi="Cambria" w:cs="Cambria"/>
          <w:sz w:val="24"/>
          <w:szCs w:val="24"/>
        </w:rPr>
        <w:t>conform Ordinului nr. 4183 din 4 iulie 2022 pentru aprobarea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Regulamentului-cadru de organizare şi funcţionare a unităţilor de învăţământ preuniversitar, art. 72 (4)</w:t>
      </w:r>
    </w:p>
    <w:p w:rsidR="004313C5" w:rsidRDefault="004313C5">
      <w:pPr>
        <w:spacing w:line="1" w:lineRule="exact"/>
        <w:rPr>
          <w:sz w:val="24"/>
          <w:szCs w:val="24"/>
        </w:rPr>
      </w:pPr>
    </w:p>
    <w:p w:rsidR="004313C5" w:rsidRDefault="00704126">
      <w:pPr>
        <w:numPr>
          <w:ilvl w:val="0"/>
          <w:numId w:val="2"/>
        </w:numPr>
        <w:tabs>
          <w:tab w:val="left" w:pos="720"/>
        </w:tabs>
        <w:ind w:left="720" w:hanging="368"/>
        <w:rPr>
          <w:rFonts w:ascii="Wingdings" w:eastAsia="Wingdings" w:hAnsi="Wingdings" w:cs="Wingdings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asigură, la nivelul unităţii de învăţământ</w:t>
      </w:r>
      <w:r>
        <w:rPr>
          <w:rFonts w:ascii="Cambria" w:eastAsia="Cambria" w:hAnsi="Cambria" w:cs="Cambria"/>
          <w:sz w:val="24"/>
          <w:szCs w:val="24"/>
        </w:rPr>
        <w:t>, planificarea, organizarea şi desfăşurarea activităţilor din domeniul formării în cariera didactică;</w:t>
      </w:r>
    </w:p>
    <w:p w:rsidR="004313C5" w:rsidRDefault="00704126">
      <w:pPr>
        <w:numPr>
          <w:ilvl w:val="0"/>
          <w:numId w:val="2"/>
        </w:numPr>
        <w:tabs>
          <w:tab w:val="left" w:pos="720"/>
        </w:tabs>
        <w:ind w:left="720" w:hanging="368"/>
        <w:rPr>
          <w:rFonts w:ascii="Wingdings" w:eastAsia="Wingdings" w:hAnsi="Wingdings" w:cs="Wingdings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realizează diagnoza de formare continuă la nivelul unităţii de învăţământ;</w:t>
      </w:r>
    </w:p>
    <w:p w:rsidR="004313C5" w:rsidRDefault="00704126">
      <w:pPr>
        <w:numPr>
          <w:ilvl w:val="0"/>
          <w:numId w:val="2"/>
        </w:numPr>
        <w:tabs>
          <w:tab w:val="left" w:pos="700"/>
        </w:tabs>
        <w:spacing w:line="239" w:lineRule="auto"/>
        <w:ind w:left="700" w:hanging="350"/>
        <w:jc w:val="both"/>
        <w:rPr>
          <w:rFonts w:ascii="Wingdings" w:eastAsia="Wingdings" w:hAnsi="Wingdings" w:cs="Wingdings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asigură evaluarea stadiului de îndeplinire a condiţiei de formare pentru person</w:t>
      </w:r>
      <w:r>
        <w:rPr>
          <w:rFonts w:ascii="Cambria" w:eastAsia="Cambria" w:hAnsi="Cambria" w:cs="Cambria"/>
          <w:sz w:val="24"/>
          <w:szCs w:val="24"/>
        </w:rPr>
        <w:t>alul didactic validează, după evaluare, îndeplinirea condiţiei de formare prin acumularea numărului de credite profesionale transferabile legal prevăzut, inclusiv prin recunoaşterea şi echivalarea în credite profesionale transferabile, a rezultatelor parti</w:t>
      </w:r>
      <w:r>
        <w:rPr>
          <w:rFonts w:ascii="Cambria" w:eastAsia="Cambria" w:hAnsi="Cambria" w:cs="Cambria"/>
          <w:sz w:val="24"/>
          <w:szCs w:val="24"/>
        </w:rPr>
        <w:t>cipării personalului didactic la programe pentru dezvoltare profesională continuă şi pentru evoluţia în cariera didactică;</w:t>
      </w:r>
    </w:p>
    <w:p w:rsidR="004313C5" w:rsidRDefault="004313C5">
      <w:pPr>
        <w:spacing w:line="5" w:lineRule="exact"/>
        <w:rPr>
          <w:rFonts w:ascii="Wingdings" w:eastAsia="Wingdings" w:hAnsi="Wingdings" w:cs="Wingdings"/>
          <w:sz w:val="24"/>
          <w:szCs w:val="24"/>
        </w:rPr>
      </w:pPr>
    </w:p>
    <w:p w:rsidR="004313C5" w:rsidRDefault="00704126">
      <w:pPr>
        <w:numPr>
          <w:ilvl w:val="0"/>
          <w:numId w:val="2"/>
        </w:numPr>
        <w:tabs>
          <w:tab w:val="left" w:pos="700"/>
        </w:tabs>
        <w:spacing w:line="239" w:lineRule="auto"/>
        <w:ind w:left="70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asigură monitorizarea impactului formării cadrelor didactice asupra calităţii procesului de predare-învăţare-evaluare şi a progresul</w:t>
      </w:r>
      <w:r>
        <w:rPr>
          <w:rFonts w:ascii="Cambria" w:eastAsia="Cambria" w:hAnsi="Cambria" w:cs="Cambria"/>
          <w:sz w:val="24"/>
          <w:szCs w:val="24"/>
        </w:rPr>
        <w:t>ui şcolar al elevilor;</w:t>
      </w:r>
    </w:p>
    <w:p w:rsidR="004313C5" w:rsidRDefault="004313C5">
      <w:pPr>
        <w:spacing w:line="3" w:lineRule="exact"/>
        <w:rPr>
          <w:rFonts w:ascii="Wingdings" w:eastAsia="Wingdings" w:hAnsi="Wingdings" w:cs="Wingdings"/>
          <w:sz w:val="24"/>
          <w:szCs w:val="24"/>
        </w:rPr>
      </w:pPr>
    </w:p>
    <w:p w:rsidR="004313C5" w:rsidRDefault="00704126">
      <w:pPr>
        <w:numPr>
          <w:ilvl w:val="0"/>
          <w:numId w:val="2"/>
        </w:numPr>
        <w:tabs>
          <w:tab w:val="left" w:pos="700"/>
        </w:tabs>
        <w:spacing w:line="239" w:lineRule="auto"/>
        <w:ind w:left="70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organizează activităţi pentru dezvoltare profesională continuă - acţiuni specifice unităţii de învăţământ, lecţii demonstrative, schimburi de experienţă etc.;</w:t>
      </w:r>
    </w:p>
    <w:p w:rsidR="004313C5" w:rsidRDefault="00704126">
      <w:pPr>
        <w:numPr>
          <w:ilvl w:val="0"/>
          <w:numId w:val="2"/>
        </w:numPr>
        <w:tabs>
          <w:tab w:val="left" w:pos="720"/>
        </w:tabs>
        <w:ind w:left="720" w:hanging="370"/>
        <w:rPr>
          <w:rFonts w:ascii="Wingdings" w:eastAsia="Wingdings" w:hAnsi="Wingdings" w:cs="Wingdings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implementează standardele de formare asociate profilului profesional al </w:t>
      </w:r>
      <w:r>
        <w:rPr>
          <w:rFonts w:ascii="Cambria" w:eastAsia="Cambria" w:hAnsi="Cambria" w:cs="Cambria"/>
          <w:sz w:val="24"/>
          <w:szCs w:val="24"/>
        </w:rPr>
        <w:t>cadrelor</w:t>
      </w:r>
    </w:p>
    <w:p w:rsidR="004313C5" w:rsidRDefault="00704126">
      <w:pPr>
        <w:spacing w:line="239" w:lineRule="auto"/>
        <w:ind w:left="66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didactice;</w:t>
      </w:r>
    </w:p>
    <w:p w:rsidR="004313C5" w:rsidRDefault="004313C5">
      <w:pPr>
        <w:spacing w:line="3" w:lineRule="exact"/>
        <w:rPr>
          <w:sz w:val="24"/>
          <w:szCs w:val="24"/>
        </w:rPr>
      </w:pPr>
    </w:p>
    <w:p w:rsidR="004313C5" w:rsidRDefault="00704126">
      <w:pPr>
        <w:numPr>
          <w:ilvl w:val="0"/>
          <w:numId w:val="3"/>
        </w:numPr>
        <w:tabs>
          <w:tab w:val="left" w:pos="700"/>
        </w:tabs>
        <w:spacing w:line="239" w:lineRule="auto"/>
        <w:ind w:left="70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consiliază cadrele didactice în procesul de predare-învăţare-evaluare, inclusiv în sistem blended learning/online;</w:t>
      </w:r>
    </w:p>
    <w:p w:rsidR="004313C5" w:rsidRDefault="004313C5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:rsidR="004313C5" w:rsidRDefault="00704126">
      <w:pPr>
        <w:numPr>
          <w:ilvl w:val="0"/>
          <w:numId w:val="3"/>
        </w:numPr>
        <w:tabs>
          <w:tab w:val="left" w:pos="700"/>
        </w:tabs>
        <w:spacing w:line="239" w:lineRule="auto"/>
        <w:ind w:left="70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realizează graficul activităţilor de practică pedagogică şi monitorizează activitatea profesorilor mentori, având în </w:t>
      </w:r>
      <w:r>
        <w:rPr>
          <w:rFonts w:ascii="Cambria" w:eastAsia="Cambria" w:hAnsi="Cambria" w:cs="Cambria"/>
          <w:sz w:val="24"/>
          <w:szCs w:val="24"/>
        </w:rPr>
        <w:t>vedere că unitatea de învăţământ este şcoală de aplicaţie;</w:t>
      </w:r>
    </w:p>
    <w:p w:rsidR="004313C5" w:rsidRDefault="004313C5">
      <w:pPr>
        <w:spacing w:line="3" w:lineRule="exact"/>
        <w:rPr>
          <w:rFonts w:ascii="Wingdings" w:eastAsia="Wingdings" w:hAnsi="Wingdings" w:cs="Wingdings"/>
          <w:sz w:val="24"/>
          <w:szCs w:val="24"/>
        </w:rPr>
      </w:pPr>
    </w:p>
    <w:p w:rsidR="004313C5" w:rsidRDefault="00704126">
      <w:pPr>
        <w:numPr>
          <w:ilvl w:val="0"/>
          <w:numId w:val="3"/>
        </w:numPr>
        <w:tabs>
          <w:tab w:val="left" w:pos="700"/>
        </w:tabs>
        <w:spacing w:line="239" w:lineRule="auto"/>
        <w:ind w:left="700" w:hanging="350"/>
        <w:jc w:val="both"/>
        <w:rPr>
          <w:rFonts w:ascii="Wingdings" w:eastAsia="Wingdings" w:hAnsi="Wingdings" w:cs="Wingdings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asigură organizarea şi desfăşurarea activităţilor specifice de mentorat didactic pentru cadrele didactice debutante, în vederea susţinerii examenului naţional pentru definitivare în învăţământul p</w:t>
      </w:r>
      <w:r>
        <w:rPr>
          <w:rFonts w:ascii="Cambria" w:eastAsia="Cambria" w:hAnsi="Cambria" w:cs="Cambria"/>
          <w:sz w:val="24"/>
          <w:szCs w:val="24"/>
        </w:rPr>
        <w:t>reuniversitar;</w:t>
      </w:r>
    </w:p>
    <w:p w:rsidR="004313C5" w:rsidRDefault="004313C5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:rsidR="004313C5" w:rsidRDefault="00704126">
      <w:pPr>
        <w:numPr>
          <w:ilvl w:val="0"/>
          <w:numId w:val="3"/>
        </w:numPr>
        <w:tabs>
          <w:tab w:val="left" w:pos="700"/>
        </w:tabs>
        <w:ind w:left="70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realizează rapoarte şi planuri anuale privind dezvoltarea profesională continuă şi evoluţia în cariera didactică a personalului didactic încadrat în unitatea de învăţământ;</w:t>
      </w:r>
    </w:p>
    <w:p w:rsidR="004313C5" w:rsidRDefault="004313C5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:rsidR="004313C5" w:rsidRDefault="00704126">
      <w:pPr>
        <w:numPr>
          <w:ilvl w:val="0"/>
          <w:numId w:val="3"/>
        </w:numPr>
        <w:tabs>
          <w:tab w:val="left" w:pos="700"/>
        </w:tabs>
        <w:spacing w:line="239" w:lineRule="auto"/>
        <w:ind w:left="700" w:hanging="350"/>
        <w:rPr>
          <w:rFonts w:ascii="Wingdings" w:eastAsia="Wingdings" w:hAnsi="Wingdings" w:cs="Wingdings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orice alte atribuţii decurgând din legislaţia în vigoare şi din re</w:t>
      </w:r>
      <w:r>
        <w:rPr>
          <w:rFonts w:ascii="Cambria" w:eastAsia="Cambria" w:hAnsi="Cambria" w:cs="Cambria"/>
          <w:sz w:val="24"/>
          <w:szCs w:val="24"/>
        </w:rPr>
        <w:t>gulamentul de organizare şi funcţionare a unităţii de învăţământ.</w:t>
      </w:r>
    </w:p>
    <w:sectPr w:rsidR="004313C5">
      <w:pgSz w:w="12240" w:h="15840"/>
      <w:pgMar w:top="284" w:right="760" w:bottom="1440" w:left="860" w:header="0" w:footer="0" w:gutter="0"/>
      <w:cols w:space="720" w:equalWidth="0">
        <w:col w:w="10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34CA9436"/>
    <w:lvl w:ilvl="0" w:tplc="57D28FD8">
      <w:start w:val="1"/>
      <w:numFmt w:val="bullet"/>
      <w:lvlText w:val=""/>
      <w:lvlJc w:val="left"/>
    </w:lvl>
    <w:lvl w:ilvl="1" w:tplc="F4A62E1C">
      <w:numFmt w:val="decimal"/>
      <w:lvlText w:val=""/>
      <w:lvlJc w:val="left"/>
    </w:lvl>
    <w:lvl w:ilvl="2" w:tplc="7786BE8C">
      <w:numFmt w:val="decimal"/>
      <w:lvlText w:val=""/>
      <w:lvlJc w:val="left"/>
    </w:lvl>
    <w:lvl w:ilvl="3" w:tplc="AF0AB852">
      <w:numFmt w:val="decimal"/>
      <w:lvlText w:val=""/>
      <w:lvlJc w:val="left"/>
    </w:lvl>
    <w:lvl w:ilvl="4" w:tplc="BBF8B668">
      <w:numFmt w:val="decimal"/>
      <w:lvlText w:val=""/>
      <w:lvlJc w:val="left"/>
    </w:lvl>
    <w:lvl w:ilvl="5" w:tplc="2692F832">
      <w:numFmt w:val="decimal"/>
      <w:lvlText w:val=""/>
      <w:lvlJc w:val="left"/>
    </w:lvl>
    <w:lvl w:ilvl="6" w:tplc="5E38E6F2">
      <w:numFmt w:val="decimal"/>
      <w:lvlText w:val=""/>
      <w:lvlJc w:val="left"/>
    </w:lvl>
    <w:lvl w:ilvl="7" w:tplc="8A9E7644">
      <w:numFmt w:val="decimal"/>
      <w:lvlText w:val=""/>
      <w:lvlJc w:val="left"/>
    </w:lvl>
    <w:lvl w:ilvl="8" w:tplc="7D6AE718">
      <w:numFmt w:val="decimal"/>
      <w:lvlText w:val=""/>
      <w:lvlJc w:val="left"/>
    </w:lvl>
  </w:abstractNum>
  <w:abstractNum w:abstractNumId="1">
    <w:nsid w:val="00003D6C"/>
    <w:multiLevelType w:val="hybridMultilevel"/>
    <w:tmpl w:val="1AD6D8D4"/>
    <w:lvl w:ilvl="0" w:tplc="DF58BFD0">
      <w:start w:val="1"/>
      <w:numFmt w:val="decimal"/>
      <w:lvlText w:val="%1."/>
      <w:lvlJc w:val="left"/>
    </w:lvl>
    <w:lvl w:ilvl="1" w:tplc="2A30D7D0">
      <w:numFmt w:val="decimal"/>
      <w:lvlText w:val=""/>
      <w:lvlJc w:val="left"/>
    </w:lvl>
    <w:lvl w:ilvl="2" w:tplc="03E4A7EA">
      <w:numFmt w:val="decimal"/>
      <w:lvlText w:val=""/>
      <w:lvlJc w:val="left"/>
    </w:lvl>
    <w:lvl w:ilvl="3" w:tplc="678A81B4">
      <w:numFmt w:val="decimal"/>
      <w:lvlText w:val=""/>
      <w:lvlJc w:val="left"/>
    </w:lvl>
    <w:lvl w:ilvl="4" w:tplc="80141208">
      <w:numFmt w:val="decimal"/>
      <w:lvlText w:val=""/>
      <w:lvlJc w:val="left"/>
    </w:lvl>
    <w:lvl w:ilvl="5" w:tplc="26FE2A78">
      <w:numFmt w:val="decimal"/>
      <w:lvlText w:val=""/>
      <w:lvlJc w:val="left"/>
    </w:lvl>
    <w:lvl w:ilvl="6" w:tplc="8E004194">
      <w:numFmt w:val="decimal"/>
      <w:lvlText w:val=""/>
      <w:lvlJc w:val="left"/>
    </w:lvl>
    <w:lvl w:ilvl="7" w:tplc="176AA878">
      <w:numFmt w:val="decimal"/>
      <w:lvlText w:val=""/>
      <w:lvlJc w:val="left"/>
    </w:lvl>
    <w:lvl w:ilvl="8" w:tplc="6F7E8CE2">
      <w:numFmt w:val="decimal"/>
      <w:lvlText w:val=""/>
      <w:lvlJc w:val="left"/>
    </w:lvl>
  </w:abstractNum>
  <w:abstractNum w:abstractNumId="2">
    <w:nsid w:val="000072AE"/>
    <w:multiLevelType w:val="hybridMultilevel"/>
    <w:tmpl w:val="24AC2610"/>
    <w:lvl w:ilvl="0" w:tplc="BBBE1208">
      <w:start w:val="1"/>
      <w:numFmt w:val="bullet"/>
      <w:lvlText w:val=""/>
      <w:lvlJc w:val="left"/>
    </w:lvl>
    <w:lvl w:ilvl="1" w:tplc="43FA5E0C">
      <w:numFmt w:val="decimal"/>
      <w:lvlText w:val=""/>
      <w:lvlJc w:val="left"/>
    </w:lvl>
    <w:lvl w:ilvl="2" w:tplc="87F68886">
      <w:numFmt w:val="decimal"/>
      <w:lvlText w:val=""/>
      <w:lvlJc w:val="left"/>
    </w:lvl>
    <w:lvl w:ilvl="3" w:tplc="1562C0E0">
      <w:numFmt w:val="decimal"/>
      <w:lvlText w:val=""/>
      <w:lvlJc w:val="left"/>
    </w:lvl>
    <w:lvl w:ilvl="4" w:tplc="CBEEDDD6">
      <w:numFmt w:val="decimal"/>
      <w:lvlText w:val=""/>
      <w:lvlJc w:val="left"/>
    </w:lvl>
    <w:lvl w:ilvl="5" w:tplc="EA4A9740">
      <w:numFmt w:val="decimal"/>
      <w:lvlText w:val=""/>
      <w:lvlJc w:val="left"/>
    </w:lvl>
    <w:lvl w:ilvl="6" w:tplc="F098A2CA">
      <w:numFmt w:val="decimal"/>
      <w:lvlText w:val=""/>
      <w:lvlJc w:val="left"/>
    </w:lvl>
    <w:lvl w:ilvl="7" w:tplc="B0E4CCF0">
      <w:numFmt w:val="decimal"/>
      <w:lvlText w:val=""/>
      <w:lvlJc w:val="left"/>
    </w:lvl>
    <w:lvl w:ilvl="8" w:tplc="CA0260FE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C5"/>
    <w:rsid w:val="004313C5"/>
    <w:rsid w:val="0070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2</cp:revision>
  <dcterms:created xsi:type="dcterms:W3CDTF">2023-10-06T11:09:00Z</dcterms:created>
  <dcterms:modified xsi:type="dcterms:W3CDTF">2023-10-06T11:09:00Z</dcterms:modified>
</cp:coreProperties>
</file>